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19" w:rsidRPr="00C16D17" w:rsidRDefault="00C91B55">
      <w:pPr>
        <w:tabs>
          <w:tab w:val="right" w:pos="10800"/>
        </w:tabs>
        <w:jc w:val="center"/>
        <w:rPr>
          <w:rFonts w:ascii="Arial" w:hAnsi="Arial" w:cs="Arial"/>
          <w:b/>
          <w:sz w:val="28"/>
          <w:szCs w:val="28"/>
        </w:rPr>
      </w:pPr>
      <w:r w:rsidRPr="00C16D17">
        <w:rPr>
          <w:rFonts w:ascii="Arial" w:hAnsi="Arial" w:cs="Arial"/>
          <w:b/>
          <w:sz w:val="28"/>
          <w:szCs w:val="28"/>
        </w:rPr>
        <w:t>I</w:t>
      </w:r>
      <w:r w:rsidR="00026719" w:rsidRPr="00C16D17">
        <w:rPr>
          <w:rFonts w:ascii="Arial" w:hAnsi="Arial" w:cs="Arial"/>
          <w:b/>
          <w:sz w:val="28"/>
          <w:szCs w:val="28"/>
        </w:rPr>
        <w:t xml:space="preserve">nstructions for Completing the Application for </w:t>
      </w:r>
      <w:r w:rsidR="00BF3B59" w:rsidRPr="00C16D17">
        <w:rPr>
          <w:rFonts w:ascii="Arial" w:hAnsi="Arial" w:cs="Arial"/>
          <w:b/>
          <w:sz w:val="28"/>
          <w:szCs w:val="28"/>
        </w:rPr>
        <w:t>Virginia In-state tuition rates</w:t>
      </w:r>
    </w:p>
    <w:p w:rsidR="00026719" w:rsidRPr="00717C3E" w:rsidRDefault="00205453">
      <w:pPr>
        <w:tabs>
          <w:tab w:val="right" w:pos="10800"/>
        </w:tabs>
        <w:jc w:val="center"/>
        <w:rPr>
          <w:rFonts w:ascii="Arial Narrow" w:hAnsi="Arial Narrow"/>
          <w:b/>
          <w:sz w:val="16"/>
          <w:szCs w:val="16"/>
        </w:rPr>
      </w:pPr>
      <w:r w:rsidRPr="00717C3E">
        <w:rPr>
          <w:rFonts w:ascii="Arial Narrow" w:hAnsi="Arial Narrow"/>
          <w:b/>
          <w:sz w:val="16"/>
          <w:szCs w:val="16"/>
        </w:rPr>
        <w:t>Use this application if you are a currently enrolled undergraduate student, or if you have previously attended VT as an undergraduate student.</w:t>
      </w:r>
    </w:p>
    <w:p w:rsidR="004E5621" w:rsidRDefault="004E5621">
      <w:pPr>
        <w:tabs>
          <w:tab w:val="left" w:pos="630"/>
          <w:tab w:val="right" w:pos="10800"/>
        </w:tabs>
        <w:jc w:val="both"/>
        <w:rPr>
          <w:rFonts w:ascii="Arial Narrow" w:hAnsi="Arial Narrow"/>
          <w:b/>
        </w:rPr>
      </w:pPr>
    </w:p>
    <w:p w:rsidR="00026719" w:rsidRDefault="00026719">
      <w:pPr>
        <w:tabs>
          <w:tab w:val="left" w:pos="720"/>
          <w:tab w:val="right" w:pos="10800"/>
        </w:tabs>
        <w:jc w:val="both"/>
        <w:rPr>
          <w:rFonts w:ascii="Arial Narrow" w:hAnsi="Arial Narrow"/>
          <w:sz w:val="20"/>
        </w:rPr>
      </w:pPr>
      <w:r>
        <w:rPr>
          <w:rFonts w:ascii="Arial Narrow" w:hAnsi="Arial Narrow"/>
          <w:sz w:val="20"/>
        </w:rPr>
        <w:t xml:space="preserve">Please answer all questions and type or print legibly.  </w:t>
      </w:r>
      <w:r w:rsidR="00A672B3">
        <w:rPr>
          <w:rFonts w:ascii="Arial Narrow" w:hAnsi="Arial Narrow"/>
          <w:sz w:val="20"/>
        </w:rPr>
        <w:t xml:space="preserve"> P</w:t>
      </w:r>
      <w:r>
        <w:rPr>
          <w:rFonts w:ascii="Arial Narrow" w:hAnsi="Arial Narrow"/>
          <w:sz w:val="20"/>
        </w:rPr>
        <w:t xml:space="preserve">lease include </w:t>
      </w:r>
      <w:r w:rsidR="00A672B3">
        <w:rPr>
          <w:rFonts w:ascii="Arial Narrow" w:hAnsi="Arial Narrow"/>
          <w:sz w:val="20"/>
        </w:rPr>
        <w:t>a cover letter to explain special circumstances or to provide additional information regarding your application.</w:t>
      </w:r>
      <w:r>
        <w:rPr>
          <w:rFonts w:ascii="Arial Narrow" w:hAnsi="Arial Narrow"/>
          <w:sz w:val="20"/>
        </w:rPr>
        <w:t xml:space="preserve">   </w:t>
      </w:r>
      <w:r>
        <w:rPr>
          <w:rFonts w:ascii="Arial Narrow" w:hAnsi="Arial Narrow"/>
          <w:b/>
          <w:bCs/>
          <w:sz w:val="20"/>
        </w:rPr>
        <w:t xml:space="preserve">Supporting documents </w:t>
      </w:r>
      <w:r w:rsidR="00A672B3">
        <w:rPr>
          <w:rFonts w:ascii="Arial Narrow" w:hAnsi="Arial Narrow"/>
          <w:b/>
          <w:bCs/>
          <w:sz w:val="20"/>
        </w:rPr>
        <w:t>must be provided before your application will be reviewed.</w:t>
      </w:r>
      <w:r>
        <w:rPr>
          <w:rFonts w:ascii="Arial Narrow" w:hAnsi="Arial Narrow"/>
          <w:b/>
          <w:bCs/>
          <w:sz w:val="20"/>
        </w:rPr>
        <w:t xml:space="preserve">  If you do not pr</w:t>
      </w:r>
      <w:r w:rsidR="00A672B3">
        <w:rPr>
          <w:rFonts w:ascii="Arial Narrow" w:hAnsi="Arial Narrow"/>
          <w:b/>
          <w:bCs/>
          <w:sz w:val="20"/>
        </w:rPr>
        <w:t>ovide supporting documentation, the</w:t>
      </w:r>
      <w:r>
        <w:rPr>
          <w:rFonts w:ascii="Arial Narrow" w:hAnsi="Arial Narrow"/>
          <w:b/>
          <w:bCs/>
          <w:sz w:val="20"/>
        </w:rPr>
        <w:t xml:space="preserve"> processing of your application may be delayed.  </w:t>
      </w:r>
    </w:p>
    <w:p w:rsidR="00026719" w:rsidRDefault="00026719">
      <w:pPr>
        <w:tabs>
          <w:tab w:val="right" w:pos="10800"/>
        </w:tabs>
        <w:jc w:val="both"/>
        <w:rPr>
          <w:rFonts w:ascii="Arial Narrow" w:hAnsi="Arial Narrow"/>
          <w:sz w:val="20"/>
        </w:rPr>
      </w:pPr>
    </w:p>
    <w:p w:rsidR="00026719" w:rsidRDefault="00B776E5">
      <w:pPr>
        <w:pStyle w:val="BodyText"/>
      </w:pPr>
      <w:r>
        <w:t xml:space="preserve">DEADLINES:  </w:t>
      </w:r>
      <w:r w:rsidR="00026719">
        <w:t xml:space="preserve">Applications for reclassification should be submitted </w:t>
      </w:r>
      <w:r w:rsidR="00717C3E">
        <w:rPr>
          <w:b/>
        </w:rPr>
        <w:t>prior to the beginning of the</w:t>
      </w:r>
      <w:r w:rsidR="00026719" w:rsidRPr="00A672B3">
        <w:rPr>
          <w:b/>
        </w:rPr>
        <w:t xml:space="preserve"> term</w:t>
      </w:r>
      <w:r w:rsidR="00026719">
        <w:t xml:space="preserve"> for which a change in status is sought.  </w:t>
      </w:r>
      <w:r w:rsidRPr="00B776E5">
        <w:rPr>
          <w:b/>
        </w:rPr>
        <w:t xml:space="preserve">Applications </w:t>
      </w:r>
      <w:r w:rsidR="00026719" w:rsidRPr="00B776E5">
        <w:rPr>
          <w:b/>
        </w:rPr>
        <w:t>received on or after the first day of any term will not be considered for that term but will be considered for the following term.</w:t>
      </w:r>
      <w:r w:rsidR="00026719">
        <w:t xml:space="preserve">  Applicants are typically notified of decisions or requests for additional information/</w:t>
      </w:r>
      <w:r w:rsidR="00A672B3">
        <w:t xml:space="preserve">documentation within four </w:t>
      </w:r>
      <w:r w:rsidR="00755BA2">
        <w:t xml:space="preserve">weeks </w:t>
      </w:r>
      <w:r w:rsidR="00026719">
        <w:t>of receipt of all necessary application materials.  Processing time may be delayed during peak periods such as commencement, beginning of term, and end of term.</w:t>
      </w:r>
    </w:p>
    <w:p w:rsidR="00026719" w:rsidRDefault="00026719">
      <w:pPr>
        <w:tabs>
          <w:tab w:val="left" w:pos="720"/>
          <w:tab w:val="right" w:pos="10800"/>
        </w:tabs>
        <w:jc w:val="both"/>
        <w:rPr>
          <w:rFonts w:ascii="Arial Narrow" w:hAnsi="Arial Narrow"/>
          <w:sz w:val="20"/>
        </w:rPr>
      </w:pPr>
    </w:p>
    <w:p w:rsidR="00026719" w:rsidRDefault="004E5621">
      <w:pPr>
        <w:tabs>
          <w:tab w:val="left" w:pos="720"/>
          <w:tab w:val="right" w:pos="10800"/>
        </w:tabs>
        <w:jc w:val="both"/>
        <w:rPr>
          <w:rFonts w:ascii="Arial Narrow" w:hAnsi="Arial Narrow"/>
          <w:sz w:val="20"/>
        </w:rPr>
      </w:pPr>
      <w:r>
        <w:rPr>
          <w:rFonts w:ascii="Arial Narrow" w:hAnsi="Arial Narrow"/>
          <w:sz w:val="20"/>
        </w:rPr>
        <w:t>Section</w:t>
      </w:r>
      <w:r w:rsidR="00B776E5">
        <w:rPr>
          <w:rFonts w:ascii="Arial Narrow" w:hAnsi="Arial Narrow"/>
          <w:sz w:val="20"/>
        </w:rPr>
        <w:t>s</w:t>
      </w:r>
      <w:r>
        <w:rPr>
          <w:rFonts w:ascii="Arial Narrow" w:hAnsi="Arial Narrow"/>
          <w:sz w:val="20"/>
        </w:rPr>
        <w:t xml:space="preserve"> 23.1-500</w:t>
      </w:r>
      <w:r w:rsidR="00B776E5">
        <w:rPr>
          <w:rFonts w:ascii="Arial Narrow" w:hAnsi="Arial Narrow"/>
          <w:sz w:val="20"/>
        </w:rPr>
        <w:t>-510</w:t>
      </w:r>
      <w:r w:rsidR="00026719">
        <w:rPr>
          <w:rFonts w:ascii="Arial Narrow" w:hAnsi="Arial Narrow"/>
          <w:sz w:val="20"/>
        </w:rPr>
        <w:t xml:space="preserve"> of the </w:t>
      </w:r>
      <w:r w:rsidR="00026719">
        <w:rPr>
          <w:rFonts w:ascii="Arial Narrow" w:hAnsi="Arial Narrow"/>
          <w:i/>
          <w:sz w:val="20"/>
        </w:rPr>
        <w:t>Code of Virginia</w:t>
      </w:r>
      <w:r w:rsidR="00026719">
        <w:rPr>
          <w:rFonts w:ascii="Arial Narrow" w:hAnsi="Arial Narrow"/>
          <w:sz w:val="20"/>
        </w:rPr>
        <w:t xml:space="preserve"> and the State Council of Higher Education’s </w:t>
      </w:r>
      <w:r w:rsidR="00026719">
        <w:rPr>
          <w:rFonts w:ascii="Arial Narrow" w:hAnsi="Arial Narrow"/>
          <w:i/>
          <w:sz w:val="20"/>
        </w:rPr>
        <w:t>Guidelines</w:t>
      </w:r>
      <w:r w:rsidR="00026719">
        <w:rPr>
          <w:rFonts w:ascii="Arial Narrow" w:hAnsi="Arial Narrow"/>
          <w:sz w:val="20"/>
        </w:rPr>
        <w:t xml:space="preserve"> provides state colleges and universities with guidance regarding determination of in-state status for tuition purposes.  According to the </w:t>
      </w:r>
      <w:r w:rsidR="00026719">
        <w:rPr>
          <w:rFonts w:ascii="Arial Narrow" w:hAnsi="Arial Narrow"/>
          <w:i/>
          <w:sz w:val="20"/>
        </w:rPr>
        <w:t>Guidelines</w:t>
      </w:r>
      <w:r w:rsidR="00026719">
        <w:rPr>
          <w:rFonts w:ascii="Arial Narrow" w:hAnsi="Arial Narrow"/>
          <w:sz w:val="20"/>
        </w:rPr>
        <w:t>, “a person demonstrates his or her intent through objective conduct.  In short, actions generally speak louder than words.  The law requi</w:t>
      </w:r>
      <w:smartTag w:uri="urn:schemas-microsoft-com:office:smarttags" w:element="PersonName">
        <w:r w:rsidR="00026719">
          <w:rPr>
            <w:rFonts w:ascii="Arial Narrow" w:hAnsi="Arial Narrow"/>
            <w:sz w:val="20"/>
          </w:rPr>
          <w:t>res</w:t>
        </w:r>
      </w:smartTag>
      <w:r w:rsidR="00026719">
        <w:rPr>
          <w:rFonts w:ascii="Arial Narrow" w:hAnsi="Arial Narrow"/>
          <w:sz w:val="20"/>
        </w:rPr>
        <w:t xml:space="preserve"> that a person claiming eligibility for in-state tuition as a domiciliary (or the person t</w:t>
      </w:r>
      <w:r w:rsidR="00717C3E">
        <w:rPr>
          <w:rFonts w:ascii="Arial Narrow" w:hAnsi="Arial Narrow"/>
          <w:sz w:val="20"/>
        </w:rPr>
        <w:t>hrough whom eligibility is</w:t>
      </w:r>
      <w:r w:rsidR="00026719">
        <w:rPr>
          <w:rFonts w:ascii="Arial Narrow" w:hAnsi="Arial Narrow"/>
          <w:sz w:val="20"/>
        </w:rPr>
        <w:t xml:space="preserve"> claimed) shall have demonstrated this domiciliary intent by clear and convincing evidence at least one year prior to the date of alleged entitlement.  The burden is on the applicant to prove this intent.”  </w:t>
      </w:r>
    </w:p>
    <w:p w:rsidR="00026719" w:rsidRDefault="00026719">
      <w:pPr>
        <w:tabs>
          <w:tab w:val="left" w:pos="720"/>
          <w:tab w:val="right" w:pos="10800"/>
        </w:tabs>
        <w:jc w:val="both"/>
        <w:rPr>
          <w:rFonts w:ascii="Arial Narrow" w:hAnsi="Arial Narrow"/>
          <w:sz w:val="20"/>
        </w:rPr>
      </w:pPr>
      <w:r>
        <w:rPr>
          <w:rFonts w:ascii="Arial Narrow" w:hAnsi="Arial Narrow"/>
          <w:sz w:val="20"/>
        </w:rPr>
        <w:tab/>
      </w:r>
    </w:p>
    <w:p w:rsidR="00026719" w:rsidRDefault="00026719">
      <w:pPr>
        <w:tabs>
          <w:tab w:val="left" w:pos="720"/>
          <w:tab w:val="right" w:pos="10800"/>
        </w:tabs>
        <w:jc w:val="both"/>
        <w:rPr>
          <w:rFonts w:ascii="Arial Narrow" w:hAnsi="Arial Narrow"/>
          <w:sz w:val="20"/>
        </w:rPr>
      </w:pPr>
      <w:r>
        <w:rPr>
          <w:rFonts w:ascii="Arial Narrow" w:hAnsi="Arial Narrow"/>
          <w:sz w:val="20"/>
        </w:rPr>
        <w:t>If are able to check any of the boxes listed in Question 4</w:t>
      </w:r>
      <w:r w:rsidR="00B776E5">
        <w:rPr>
          <w:rFonts w:ascii="Arial Narrow" w:hAnsi="Arial Narrow"/>
          <w:sz w:val="20"/>
        </w:rPr>
        <w:t xml:space="preserve"> of the application</w:t>
      </w:r>
      <w:r>
        <w:rPr>
          <w:rFonts w:ascii="Arial Narrow" w:hAnsi="Arial Narrow"/>
          <w:sz w:val="20"/>
        </w:rPr>
        <w:t xml:space="preserve">, you are applying as an independent student and any supporting documentation you provide should pertain </w:t>
      </w:r>
      <w:r>
        <w:rPr>
          <w:rFonts w:ascii="Arial Narrow" w:hAnsi="Arial Narrow"/>
          <w:b/>
          <w:bCs/>
          <w:sz w:val="20"/>
        </w:rPr>
        <w:t>to your Virginia domicile</w:t>
      </w:r>
      <w:r>
        <w:rPr>
          <w:rFonts w:ascii="Arial Narrow" w:hAnsi="Arial Narrow"/>
          <w:sz w:val="20"/>
        </w:rPr>
        <w:t xml:space="preserve">.  If you are NOT able to check any of the boxes listed in Question 4, you are applying as a dependent student, and any supporting documentation you provide should pertain to the </w:t>
      </w:r>
      <w:smartTag w:uri="urn:schemas-microsoft-com:office:smarttags" w:element="place">
        <w:smartTag w:uri="urn:schemas-microsoft-com:office:smarttags" w:element="State">
          <w:r>
            <w:rPr>
              <w:rFonts w:ascii="Arial Narrow" w:hAnsi="Arial Narrow"/>
              <w:sz w:val="20"/>
            </w:rPr>
            <w:t>Virginia</w:t>
          </w:r>
        </w:smartTag>
      </w:smartTag>
      <w:r>
        <w:rPr>
          <w:rFonts w:ascii="Arial Narrow" w:hAnsi="Arial Narrow"/>
          <w:sz w:val="20"/>
        </w:rPr>
        <w:t xml:space="preserve"> domicile of the </w:t>
      </w:r>
      <w:r>
        <w:rPr>
          <w:rFonts w:ascii="Arial Narrow" w:hAnsi="Arial Narrow"/>
          <w:b/>
          <w:bCs/>
          <w:sz w:val="20"/>
        </w:rPr>
        <w:t>parent or spouse</w:t>
      </w:r>
      <w:r>
        <w:rPr>
          <w:rFonts w:ascii="Arial Narrow" w:hAnsi="Arial Narrow"/>
          <w:sz w:val="20"/>
        </w:rPr>
        <w:t xml:space="preserve"> listed in Questions 17 and 18 of the application.</w:t>
      </w:r>
    </w:p>
    <w:p w:rsidR="00026719" w:rsidRDefault="00026719">
      <w:pPr>
        <w:tabs>
          <w:tab w:val="left" w:pos="720"/>
          <w:tab w:val="right" w:pos="10800"/>
        </w:tabs>
        <w:jc w:val="both"/>
        <w:rPr>
          <w:rFonts w:ascii="Arial Narrow" w:hAnsi="Arial Narrow"/>
          <w:sz w:val="20"/>
        </w:rPr>
      </w:pPr>
    </w:p>
    <w:p w:rsidR="00026719" w:rsidRDefault="00026719">
      <w:pPr>
        <w:tabs>
          <w:tab w:val="left" w:pos="720"/>
          <w:tab w:val="right" w:pos="10800"/>
        </w:tabs>
        <w:jc w:val="both"/>
        <w:rPr>
          <w:rFonts w:ascii="Arial Narrow" w:hAnsi="Arial Narrow"/>
          <w:sz w:val="20"/>
        </w:rPr>
      </w:pPr>
      <w:r>
        <w:rPr>
          <w:rFonts w:ascii="Arial Narrow" w:hAnsi="Arial Narrow"/>
          <w:sz w:val="20"/>
        </w:rPr>
        <w:t xml:space="preserve">To help clarify the type of documentation necessary for making determinations regarding in-state status, the </w:t>
      </w:r>
      <w:r>
        <w:rPr>
          <w:rFonts w:ascii="Arial Narrow" w:hAnsi="Arial Narrow"/>
          <w:i/>
          <w:sz w:val="20"/>
        </w:rPr>
        <w:t>Guidelines</w:t>
      </w:r>
      <w:r>
        <w:rPr>
          <w:rFonts w:ascii="Arial Narrow" w:hAnsi="Arial Narrow"/>
          <w:sz w:val="20"/>
        </w:rPr>
        <w:t xml:space="preserve"> provide a list of objective conduct relevant to domiciliary intent.  Please note that you do not automatically qualify for in-state status if you have the documentation </w:t>
      </w:r>
      <w:r w:rsidR="004E5621">
        <w:rPr>
          <w:rFonts w:ascii="Arial Narrow" w:hAnsi="Arial Narrow"/>
          <w:sz w:val="20"/>
        </w:rPr>
        <w:t>referenced below.</w:t>
      </w:r>
      <w:r>
        <w:rPr>
          <w:rFonts w:ascii="Arial Narrow" w:hAnsi="Arial Narrow"/>
          <w:sz w:val="20"/>
        </w:rPr>
        <w:t xml:space="preserve">  </w:t>
      </w:r>
      <w:r w:rsidR="004E5621">
        <w:rPr>
          <w:rFonts w:ascii="Arial Narrow" w:hAnsi="Arial Narrow"/>
          <w:sz w:val="20"/>
        </w:rPr>
        <w:t>This information is</w:t>
      </w:r>
      <w:r>
        <w:rPr>
          <w:rFonts w:ascii="Arial Narrow" w:hAnsi="Arial Narrow"/>
          <w:sz w:val="20"/>
        </w:rPr>
        <w:t xml:space="preserve"> provided as an example of the types of information </w:t>
      </w:r>
      <w:r w:rsidR="004E5621">
        <w:rPr>
          <w:rFonts w:ascii="Arial Narrow" w:hAnsi="Arial Narrow"/>
          <w:sz w:val="20"/>
        </w:rPr>
        <w:t>that will be reviewed as part of the</w:t>
      </w:r>
      <w:r>
        <w:rPr>
          <w:rFonts w:ascii="Arial Narrow" w:hAnsi="Arial Narrow"/>
          <w:sz w:val="20"/>
        </w:rPr>
        <w:t xml:space="preserve"> A</w:t>
      </w:r>
      <w:r w:rsidR="004E5621">
        <w:rPr>
          <w:rFonts w:ascii="Arial Narrow" w:hAnsi="Arial Narrow"/>
          <w:sz w:val="20"/>
        </w:rPr>
        <w:t>pplication for In-State Tuition process.</w:t>
      </w:r>
      <w:r>
        <w:rPr>
          <w:rFonts w:ascii="Arial Narrow" w:hAnsi="Arial Narrow"/>
          <w:sz w:val="20"/>
        </w:rPr>
        <w:t xml:space="preserve">  Applications submitted with no documentation will be considered incomplete, and there will be a sig</w:t>
      </w:r>
      <w:r w:rsidR="00B6758D">
        <w:rPr>
          <w:rFonts w:ascii="Arial Narrow" w:hAnsi="Arial Narrow"/>
          <w:sz w:val="20"/>
        </w:rPr>
        <w:t>nificant delay in processing.</w:t>
      </w:r>
      <w:r>
        <w:rPr>
          <w:rFonts w:ascii="Arial Narrow" w:hAnsi="Arial Narrow"/>
          <w:sz w:val="20"/>
        </w:rPr>
        <w:t xml:space="preserve">  </w:t>
      </w:r>
      <w:r w:rsidR="004E5621">
        <w:rPr>
          <w:rFonts w:ascii="Arial Narrow" w:hAnsi="Arial Narrow"/>
          <w:sz w:val="20"/>
        </w:rPr>
        <w:t>Several factors are used to determine if a person demonstrates intent to remain in Virginia indefinitely.  We may ask for information from you or your parents about the following factors:</w:t>
      </w:r>
    </w:p>
    <w:p w:rsidR="004E5621" w:rsidRDefault="004E5621">
      <w:pPr>
        <w:tabs>
          <w:tab w:val="left" w:pos="720"/>
          <w:tab w:val="right" w:pos="10800"/>
        </w:tabs>
        <w:jc w:val="both"/>
        <w:rPr>
          <w:rFonts w:ascii="Arial Narrow" w:hAnsi="Arial Narrow"/>
          <w:sz w:val="20"/>
        </w:rPr>
      </w:pP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Proof of continuous </w:t>
      </w:r>
      <w:smartTag w:uri="urn:schemas-microsoft-com:office:smarttags" w:element="PersonName">
        <w:r>
          <w:rPr>
            <w:rFonts w:ascii="Arial Narrow" w:hAnsi="Arial Narrow"/>
            <w:sz w:val="20"/>
          </w:rPr>
          <w:t>res</w:t>
        </w:r>
      </w:smartTag>
      <w:r>
        <w:rPr>
          <w:rFonts w:ascii="Arial Narrow" w:hAnsi="Arial Narrow"/>
          <w:sz w:val="20"/>
        </w:rPr>
        <w:t>idence (physical p</w:t>
      </w:r>
      <w:smartTag w:uri="urn:schemas-microsoft-com:office:smarttags" w:element="PersonName">
        <w:r>
          <w:rPr>
            <w:rFonts w:ascii="Arial Narrow" w:hAnsi="Arial Narrow"/>
            <w:sz w:val="20"/>
          </w:rPr>
          <w:t>res</w:t>
        </w:r>
      </w:smartTag>
      <w:r>
        <w:rPr>
          <w:rFonts w:ascii="Arial Narrow" w:hAnsi="Arial Narrow"/>
          <w:sz w:val="20"/>
        </w:rPr>
        <w:t>ence) for at least one year prior to the date of alleged entitlement (copy of deed or lease for past year)</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Documentation of the state to which income taxes are filed and paid (tax returns for prior year)</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Virginia </w:t>
      </w:r>
      <w:r w:rsidR="004E5621">
        <w:rPr>
          <w:rFonts w:ascii="Arial Narrow" w:hAnsi="Arial Narrow"/>
          <w:sz w:val="20"/>
        </w:rPr>
        <w:t>driver’s license</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Virginia </w:t>
      </w:r>
      <w:r w:rsidR="004E5621">
        <w:rPr>
          <w:rFonts w:ascii="Arial Narrow" w:hAnsi="Arial Narrow"/>
          <w:sz w:val="20"/>
        </w:rPr>
        <w:t>motor vehicle registration</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Virginia </w:t>
      </w:r>
      <w:r w:rsidR="004E5621">
        <w:rPr>
          <w:rFonts w:ascii="Arial Narrow" w:hAnsi="Arial Narrow"/>
          <w:sz w:val="20"/>
        </w:rPr>
        <w:t>voter registration and actual voting</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Proof of employment in </w:t>
      </w:r>
      <w:smartTag w:uri="urn:schemas-microsoft-com:office:smarttags" w:element="place">
        <w:smartTag w:uri="urn:schemas-microsoft-com:office:smarttags" w:element="State">
          <w:r>
            <w:rPr>
              <w:rFonts w:ascii="Arial Narrow" w:hAnsi="Arial Narrow"/>
              <w:sz w:val="20"/>
            </w:rPr>
            <w:t>Virginia</w:t>
          </w:r>
        </w:smartTag>
      </w:smartTag>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Documentation of ownership of real property</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Documentation of sources of financial support</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For dependent students, copies of the parent’s or spouse’s federal and state income tax returns</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Documentation of post-graduation employment in </w:t>
      </w:r>
      <w:smartTag w:uri="urn:schemas-microsoft-com:office:smarttags" w:element="place">
        <w:smartTag w:uri="urn:schemas-microsoft-com:office:smarttags" w:element="State">
          <w:r>
            <w:rPr>
              <w:rFonts w:ascii="Arial Narrow" w:hAnsi="Arial Narrow"/>
              <w:sz w:val="20"/>
            </w:rPr>
            <w:t>Virginia</w:t>
          </w:r>
        </w:smartTag>
      </w:smartTag>
      <w:r>
        <w:rPr>
          <w:rFonts w:ascii="Arial Narrow" w:hAnsi="Arial Narrow"/>
          <w:sz w:val="20"/>
        </w:rPr>
        <w:t xml:space="preserve"> as related to the student’s program of study (legal offer and acceptance)</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Documentation of business or professional licenses in </w:t>
      </w:r>
      <w:smartTag w:uri="urn:schemas-microsoft-com:office:smarttags" w:element="State">
        <w:r>
          <w:rPr>
            <w:rFonts w:ascii="Arial Narrow" w:hAnsi="Arial Narrow"/>
            <w:sz w:val="20"/>
          </w:rPr>
          <w:t>Virginia</w:t>
        </w:r>
      </w:smartTag>
      <w:r>
        <w:rPr>
          <w:rFonts w:ascii="Arial Narrow" w:hAnsi="Arial Narrow"/>
          <w:sz w:val="20"/>
        </w:rPr>
        <w:t xml:space="preserve"> -- professional and/or business licenses issued by </w:t>
      </w:r>
      <w:smartTag w:uri="urn:schemas-microsoft-com:office:smarttags" w:element="State">
        <w:r>
          <w:rPr>
            <w:rFonts w:ascii="Arial Narrow" w:hAnsi="Arial Narrow"/>
            <w:sz w:val="20"/>
          </w:rPr>
          <w:t>Virginia</w:t>
        </w:r>
      </w:smartTag>
      <w:r>
        <w:rPr>
          <w:rFonts w:ascii="Arial Narrow" w:hAnsi="Arial Narrow"/>
          <w:sz w:val="20"/>
        </w:rPr>
        <w:t xml:space="preserve"> agencies tend to help support a person’s claim for </w:t>
      </w:r>
      <w:smartTag w:uri="urn:schemas-microsoft-com:office:smarttags" w:element="place">
        <w:smartTag w:uri="urn:schemas-microsoft-com:office:smarttags" w:element="State">
          <w:r>
            <w:rPr>
              <w:rFonts w:ascii="Arial Narrow" w:hAnsi="Arial Narrow"/>
              <w:sz w:val="20"/>
            </w:rPr>
            <w:t>Virginia</w:t>
          </w:r>
        </w:smartTag>
      </w:smartTag>
      <w:r>
        <w:rPr>
          <w:rFonts w:ascii="Arial Narrow" w:hAnsi="Arial Narrow"/>
          <w:sz w:val="20"/>
        </w:rPr>
        <w:t xml:space="preserve"> domicile.</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Other documentation in support of social and economic relations in </w:t>
      </w:r>
      <w:smartTag w:uri="urn:schemas-microsoft-com:office:smarttags" w:element="place">
        <w:smartTag w:uri="urn:schemas-microsoft-com:office:smarttags" w:element="State">
          <w:r>
            <w:rPr>
              <w:rFonts w:ascii="Arial Narrow" w:hAnsi="Arial Narrow"/>
              <w:sz w:val="20"/>
            </w:rPr>
            <w:t>Virginia</w:t>
          </w:r>
        </w:smartTag>
      </w:smartTag>
      <w:r>
        <w:rPr>
          <w:rFonts w:ascii="Arial Narrow" w:hAnsi="Arial Narrow"/>
          <w:sz w:val="20"/>
        </w:rPr>
        <w:t>, such as membership(s) in religious organizations, community organizations, and social organizations, and involvement in political parties are also factors that may be p</w:t>
      </w:r>
      <w:smartTag w:uri="urn:schemas-microsoft-com:office:smarttags" w:element="PersonName">
        <w:r>
          <w:rPr>
            <w:rFonts w:ascii="Arial Narrow" w:hAnsi="Arial Narrow"/>
            <w:sz w:val="20"/>
          </w:rPr>
          <w:t>res</w:t>
        </w:r>
      </w:smartTag>
      <w:r>
        <w:rPr>
          <w:rFonts w:ascii="Arial Narrow" w:hAnsi="Arial Narrow"/>
          <w:sz w:val="20"/>
        </w:rPr>
        <w:t xml:space="preserve">ented in support of a case for domiciliary intent.  Documentation regarding the jurisdiction in which a person’s last will and testament has been executed has also served as evidence in support of a student’s case for in-state status.)  </w:t>
      </w:r>
    </w:p>
    <w:p w:rsidR="00026719" w:rsidRDefault="00026719">
      <w:pPr>
        <w:numPr>
          <w:ilvl w:val="0"/>
          <w:numId w:val="1"/>
        </w:numPr>
        <w:tabs>
          <w:tab w:val="left" w:pos="720"/>
          <w:tab w:val="right" w:pos="10800"/>
        </w:tabs>
        <w:jc w:val="both"/>
        <w:rPr>
          <w:rFonts w:ascii="Arial Narrow" w:hAnsi="Arial Narrow"/>
          <w:sz w:val="20"/>
        </w:rPr>
      </w:pPr>
      <w:r>
        <w:rPr>
          <w:rFonts w:ascii="Arial Narrow" w:hAnsi="Arial Narrow"/>
          <w:sz w:val="20"/>
        </w:rPr>
        <w:t xml:space="preserve">Any other information you feel is supportive of your case for in-state status for tuition purposes.  </w:t>
      </w:r>
    </w:p>
    <w:p w:rsidR="00026719" w:rsidRDefault="00026719">
      <w:pPr>
        <w:tabs>
          <w:tab w:val="left" w:pos="720"/>
          <w:tab w:val="right" w:pos="10800"/>
        </w:tabs>
        <w:jc w:val="both"/>
        <w:rPr>
          <w:rFonts w:ascii="Arial Narrow" w:hAnsi="Arial Narrow"/>
          <w:sz w:val="20"/>
        </w:rPr>
      </w:pPr>
    </w:p>
    <w:p w:rsidR="00026719" w:rsidRDefault="00026719">
      <w:pPr>
        <w:tabs>
          <w:tab w:val="left" w:pos="720"/>
          <w:tab w:val="right" w:pos="10800"/>
        </w:tabs>
        <w:jc w:val="both"/>
        <w:rPr>
          <w:rFonts w:ascii="Arial Narrow" w:hAnsi="Arial Narrow"/>
          <w:b/>
          <w:i/>
          <w:sz w:val="20"/>
        </w:rPr>
      </w:pPr>
      <w:r>
        <w:rPr>
          <w:rFonts w:ascii="Arial Narrow" w:hAnsi="Arial Narrow"/>
          <w:sz w:val="20"/>
        </w:rPr>
        <w:t>Please note that, individually, the items referenced above do not necessarily provide clear and convincing evidence of domiciliary intent; however, several of these items collectively may support a student’s case for in-state status for tuition purposes.  Although it is not necessary to provide information from all areas listed, it is recommended that applicants provide documentation from as many ar</w:t>
      </w:r>
      <w:r w:rsidR="00C91B55">
        <w:rPr>
          <w:rFonts w:ascii="Arial Narrow" w:hAnsi="Arial Narrow"/>
          <w:sz w:val="20"/>
        </w:rPr>
        <w:t xml:space="preserve">eas as possible. </w:t>
      </w:r>
      <w:r>
        <w:rPr>
          <w:rFonts w:ascii="Arial Narrow" w:hAnsi="Arial Narrow"/>
          <w:sz w:val="20"/>
        </w:rPr>
        <w:t xml:space="preserve">The University must receive sufficient documentation from the applicant to clearly and convincingly prove his/her case for in-state status for tuition purposes.  Students who are unable to provide documentation in support of his/her case should provide a written statement as to why that information is not obtainable.  </w:t>
      </w:r>
      <w:r w:rsidR="00205453">
        <w:rPr>
          <w:rFonts w:ascii="Arial Narrow" w:hAnsi="Arial Narrow"/>
          <w:b/>
          <w:i/>
          <w:sz w:val="20"/>
        </w:rPr>
        <w:t xml:space="preserve">Any </w:t>
      </w:r>
      <w:r>
        <w:rPr>
          <w:rFonts w:ascii="Arial Narrow" w:hAnsi="Arial Narrow"/>
          <w:b/>
          <w:i/>
          <w:sz w:val="20"/>
        </w:rPr>
        <w:t xml:space="preserve">factors </w:t>
      </w:r>
      <w:r>
        <w:rPr>
          <w:rFonts w:ascii="Arial Narrow" w:hAnsi="Arial Narrow"/>
          <w:b/>
          <w:i/>
          <w:sz w:val="20"/>
        </w:rPr>
        <w:lastRenderedPageBreak/>
        <w:t xml:space="preserve">used in support of your claim must have been in place for the required 12 continuous months (one year) prior to the date of the alleged entitlement.  </w:t>
      </w:r>
    </w:p>
    <w:p w:rsidR="00C91B55" w:rsidRDefault="00C91B55">
      <w:pPr>
        <w:tabs>
          <w:tab w:val="left" w:pos="720"/>
          <w:tab w:val="right" w:pos="10800"/>
        </w:tabs>
        <w:jc w:val="both"/>
        <w:rPr>
          <w:rFonts w:ascii="Arial Narrow" w:hAnsi="Arial Narrow"/>
          <w:sz w:val="20"/>
        </w:rPr>
      </w:pPr>
    </w:p>
    <w:p w:rsidR="00026719" w:rsidRDefault="00026719">
      <w:pPr>
        <w:tabs>
          <w:tab w:val="left" w:pos="720"/>
          <w:tab w:val="right" w:pos="10800"/>
        </w:tabs>
        <w:jc w:val="both"/>
        <w:rPr>
          <w:rFonts w:ascii="Arial Narrow" w:hAnsi="Arial Narrow"/>
          <w:sz w:val="20"/>
        </w:rPr>
      </w:pPr>
      <w:r>
        <w:rPr>
          <w:rFonts w:ascii="Arial Narrow" w:hAnsi="Arial Narrow"/>
          <w:sz w:val="20"/>
        </w:rPr>
        <w:t xml:space="preserve">The </w:t>
      </w:r>
      <w:r>
        <w:rPr>
          <w:rFonts w:ascii="Arial Narrow" w:hAnsi="Arial Narrow"/>
          <w:i/>
          <w:sz w:val="20"/>
        </w:rPr>
        <w:t>Guidelines</w:t>
      </w:r>
      <w:r>
        <w:rPr>
          <w:rFonts w:ascii="Arial Narrow" w:hAnsi="Arial Narrow"/>
          <w:sz w:val="20"/>
        </w:rPr>
        <w:t xml:space="preserve"> reiterate the importance of clear and convincing evidence in determining a student’s case for in-state status for tuition purposes.  Each student’s case p</w:t>
      </w:r>
      <w:smartTag w:uri="urn:schemas-microsoft-com:office:smarttags" w:element="PersonName">
        <w:r>
          <w:rPr>
            <w:rFonts w:ascii="Arial Narrow" w:hAnsi="Arial Narrow"/>
            <w:sz w:val="20"/>
          </w:rPr>
          <w:t>res</w:t>
        </w:r>
      </w:smartTag>
      <w:r>
        <w:rPr>
          <w:rFonts w:ascii="Arial Narrow" w:hAnsi="Arial Narrow"/>
          <w:sz w:val="20"/>
        </w:rPr>
        <w:t>ents a unique combination of factors, and the University must determine from the information submitted by the student, the core factors that clearly and convincingly demonstrate the person’s domiciliary intent.  Clear and convincing evidence does not mean proof beyond a reasonable doubt as required in some court or legal situations; however, it is that degree of proof which will produces a firm belief in the allegation.  In short, the application and supporting documentation must justify the claim both clearly and convincingly.</w:t>
      </w:r>
    </w:p>
    <w:p w:rsidR="00026719" w:rsidRDefault="00026719">
      <w:pPr>
        <w:tabs>
          <w:tab w:val="left" w:pos="720"/>
          <w:tab w:val="right" w:pos="10800"/>
        </w:tabs>
        <w:jc w:val="both"/>
        <w:rPr>
          <w:rFonts w:ascii="Arial Narrow" w:hAnsi="Arial Narrow"/>
          <w:sz w:val="20"/>
        </w:rPr>
      </w:pPr>
    </w:p>
    <w:p w:rsidR="00026719" w:rsidRDefault="005C1E71">
      <w:pPr>
        <w:tabs>
          <w:tab w:val="left" w:pos="720"/>
          <w:tab w:val="right" w:pos="10800"/>
        </w:tabs>
        <w:jc w:val="both"/>
        <w:rPr>
          <w:rFonts w:ascii="Arial Narrow" w:hAnsi="Arial Narrow"/>
          <w:sz w:val="20"/>
        </w:rPr>
      </w:pPr>
      <w:r>
        <w:rPr>
          <w:rFonts w:ascii="Arial Narrow" w:hAnsi="Arial Narrow"/>
          <w:sz w:val="20"/>
        </w:rPr>
        <w:t>Submit the application and supporting documents</w:t>
      </w:r>
      <w:r w:rsidR="00D419BE">
        <w:rPr>
          <w:rFonts w:ascii="Arial Narrow" w:hAnsi="Arial Narrow"/>
          <w:sz w:val="20"/>
        </w:rPr>
        <w:t xml:space="preserve"> in person or by mail</w:t>
      </w:r>
      <w:r>
        <w:rPr>
          <w:rFonts w:ascii="Arial Narrow" w:hAnsi="Arial Narrow"/>
          <w:sz w:val="20"/>
        </w:rPr>
        <w:t xml:space="preserve"> to:</w:t>
      </w:r>
    </w:p>
    <w:p w:rsidR="00026719" w:rsidRDefault="00026719">
      <w:pPr>
        <w:tabs>
          <w:tab w:val="left" w:pos="720"/>
          <w:tab w:val="right" w:pos="10800"/>
        </w:tabs>
        <w:jc w:val="both"/>
        <w:rPr>
          <w:rFonts w:ascii="Arial Narrow" w:hAnsi="Arial Narrow"/>
          <w:sz w:val="20"/>
        </w:rPr>
      </w:pPr>
    </w:p>
    <w:p w:rsidR="00026719" w:rsidRDefault="00C91B55" w:rsidP="005C1E71">
      <w:pPr>
        <w:tabs>
          <w:tab w:val="left" w:pos="720"/>
          <w:tab w:val="right" w:pos="10800"/>
        </w:tabs>
        <w:rPr>
          <w:rFonts w:ascii="Arial" w:hAnsi="Arial" w:cs="Arial"/>
          <w:color w:val="5A5745"/>
        </w:rPr>
      </w:pPr>
      <w:r>
        <w:rPr>
          <w:rFonts w:ascii="Arial" w:hAnsi="Arial" w:cs="Arial"/>
          <w:b/>
          <w:bCs/>
          <w:color w:val="5A5745"/>
        </w:rPr>
        <w:t>Office of the University Registrar (MC 0134)</w:t>
      </w:r>
      <w:r>
        <w:rPr>
          <w:rFonts w:ascii="Arial" w:hAnsi="Arial" w:cs="Arial"/>
          <w:i/>
          <w:iCs/>
          <w:color w:val="5A5745"/>
        </w:rPr>
        <w:br/>
      </w:r>
      <w:r>
        <w:rPr>
          <w:rFonts w:ascii="Arial" w:hAnsi="Arial" w:cs="Arial"/>
          <w:color w:val="5A5745"/>
        </w:rPr>
        <w:t>Student Services Building, Suite 250, Virginia Tech</w:t>
      </w:r>
      <w:r>
        <w:rPr>
          <w:rFonts w:ascii="Arial" w:hAnsi="Arial" w:cs="Arial"/>
          <w:color w:val="5A5745"/>
        </w:rPr>
        <w:br/>
        <w:t>800 Washington St., SW</w:t>
      </w:r>
      <w:r>
        <w:rPr>
          <w:rFonts w:ascii="Arial" w:hAnsi="Arial" w:cs="Arial"/>
          <w:color w:val="5A5745"/>
        </w:rPr>
        <w:br/>
        <w:t>Blacksburg, VA 24061</w:t>
      </w:r>
    </w:p>
    <w:p w:rsidR="00D419BE" w:rsidRDefault="00D419BE" w:rsidP="005C1E71">
      <w:pPr>
        <w:tabs>
          <w:tab w:val="left" w:pos="720"/>
          <w:tab w:val="right" w:pos="10800"/>
        </w:tabs>
        <w:rPr>
          <w:rFonts w:ascii="Arial" w:hAnsi="Arial" w:cs="Arial"/>
          <w:color w:val="5A5745"/>
        </w:rPr>
      </w:pPr>
    </w:p>
    <w:p w:rsidR="00D419BE" w:rsidRDefault="00D419BE" w:rsidP="005C1E71">
      <w:pPr>
        <w:tabs>
          <w:tab w:val="left" w:pos="720"/>
          <w:tab w:val="right" w:pos="10800"/>
        </w:tabs>
        <w:rPr>
          <w:rFonts w:ascii="Arial" w:hAnsi="Arial" w:cs="Arial"/>
          <w:color w:val="5A5745"/>
        </w:rPr>
      </w:pPr>
      <w:r>
        <w:rPr>
          <w:rFonts w:ascii="Arial" w:hAnsi="Arial" w:cs="Arial"/>
          <w:color w:val="5A5745"/>
        </w:rPr>
        <w:t>Application and documents will not be accepted by email or by fax.</w:t>
      </w:r>
    </w:p>
    <w:p w:rsidR="005C1E71" w:rsidRDefault="005C1E71" w:rsidP="005C1E71">
      <w:pPr>
        <w:tabs>
          <w:tab w:val="left" w:pos="720"/>
          <w:tab w:val="right" w:pos="10800"/>
        </w:tabs>
        <w:rPr>
          <w:rFonts w:ascii="Arial" w:hAnsi="Arial" w:cs="Arial"/>
          <w:color w:val="5A5745"/>
        </w:rPr>
      </w:pPr>
    </w:p>
    <w:p w:rsidR="005C1E71" w:rsidRDefault="005C1E71" w:rsidP="005C1E71">
      <w:pPr>
        <w:tabs>
          <w:tab w:val="left" w:pos="720"/>
          <w:tab w:val="right" w:pos="10800"/>
        </w:tabs>
        <w:rPr>
          <w:rFonts w:ascii="Arial" w:hAnsi="Arial" w:cs="Arial"/>
          <w:color w:val="5A5745"/>
        </w:rPr>
      </w:pPr>
      <w:r>
        <w:rPr>
          <w:rFonts w:ascii="Arial" w:hAnsi="Arial" w:cs="Arial"/>
          <w:color w:val="5A5745"/>
        </w:rPr>
        <w:t xml:space="preserve">Please direct any questions to </w:t>
      </w:r>
      <w:hyperlink r:id="rId7" w:history="1">
        <w:r w:rsidRPr="00CD439C">
          <w:rPr>
            <w:rStyle w:val="Hyperlink"/>
            <w:rFonts w:ascii="Arial" w:hAnsi="Arial" w:cs="Arial"/>
          </w:rPr>
          <w:t>residency@vt.edu</w:t>
        </w:r>
      </w:hyperlink>
      <w:r>
        <w:rPr>
          <w:rFonts w:ascii="Arial" w:hAnsi="Arial" w:cs="Arial"/>
          <w:color w:val="5A5745"/>
        </w:rPr>
        <w:t>.</w:t>
      </w:r>
    </w:p>
    <w:p w:rsidR="005C1E71" w:rsidRDefault="005C1E71" w:rsidP="005C1E71">
      <w:pPr>
        <w:tabs>
          <w:tab w:val="left" w:pos="720"/>
          <w:tab w:val="right" w:pos="10800"/>
        </w:tabs>
        <w:rPr>
          <w:rFonts w:ascii="Arial" w:hAnsi="Arial" w:cs="Arial"/>
          <w:color w:val="5A5745"/>
        </w:rPr>
      </w:pPr>
    </w:p>
    <w:p w:rsidR="005C1E71" w:rsidRDefault="005C1E71" w:rsidP="005C1E71">
      <w:pPr>
        <w:tabs>
          <w:tab w:val="left" w:pos="720"/>
          <w:tab w:val="right" w:pos="10800"/>
        </w:tabs>
        <w:rPr>
          <w:rFonts w:ascii="Arial" w:hAnsi="Arial" w:cs="Arial"/>
          <w:color w:val="5A5745"/>
        </w:rPr>
      </w:pPr>
    </w:p>
    <w:p w:rsidR="00C91B55" w:rsidRDefault="00C91B55">
      <w:pPr>
        <w:tabs>
          <w:tab w:val="left" w:pos="720"/>
          <w:tab w:val="right" w:pos="10800"/>
        </w:tabs>
        <w:jc w:val="center"/>
        <w:rPr>
          <w:rFonts w:ascii="Arial Narrow" w:hAnsi="Arial Narrow"/>
          <w:sz w:val="20"/>
        </w:rPr>
      </w:pPr>
    </w:p>
    <w:p w:rsidR="00026719" w:rsidRDefault="00026719">
      <w:pPr>
        <w:tabs>
          <w:tab w:val="left" w:pos="720"/>
          <w:tab w:val="right" w:pos="10800"/>
        </w:tabs>
        <w:jc w:val="center"/>
        <w:rPr>
          <w:rFonts w:ascii="Arial Narrow" w:hAnsi="Arial Narrow"/>
          <w:sz w:val="20"/>
        </w:rPr>
      </w:pPr>
    </w:p>
    <w:p w:rsidR="00026719" w:rsidRDefault="00026719">
      <w:pPr>
        <w:tabs>
          <w:tab w:val="left" w:pos="720"/>
          <w:tab w:val="right" w:pos="10800"/>
        </w:tabs>
        <w:jc w:val="center"/>
        <w:rPr>
          <w:rFonts w:ascii="Arial Narrow" w:hAnsi="Arial Narrow"/>
        </w:rPr>
      </w:pPr>
    </w:p>
    <w:p w:rsidR="00026719" w:rsidRDefault="00026719">
      <w:pPr>
        <w:tabs>
          <w:tab w:val="left" w:pos="720"/>
          <w:tab w:val="right" w:pos="10800"/>
        </w:tabs>
        <w:jc w:val="both"/>
        <w:rPr>
          <w:rFonts w:ascii="Arial Narrow" w:hAnsi="Arial Narrow"/>
          <w:sz w:val="28"/>
        </w:rPr>
      </w:pPr>
      <w:r>
        <w:rPr>
          <w:rFonts w:ascii="Arial Narrow" w:hAnsi="Arial Narrow"/>
          <w:sz w:val="28"/>
        </w:rPr>
        <w:tab/>
      </w:r>
    </w:p>
    <w:p w:rsidR="00026719" w:rsidRDefault="00026719">
      <w:pPr>
        <w:tabs>
          <w:tab w:val="right" w:pos="10800"/>
        </w:tabs>
        <w:jc w:val="both"/>
        <w:rPr>
          <w:rFonts w:ascii="Arial Narrow" w:hAnsi="Arial Narrow"/>
          <w:sz w:val="28"/>
        </w:rPr>
      </w:pPr>
    </w:p>
    <w:p w:rsidR="00026719" w:rsidRDefault="00026719">
      <w:pPr>
        <w:tabs>
          <w:tab w:val="right" w:pos="10800"/>
        </w:tabs>
        <w:jc w:val="both"/>
        <w:rPr>
          <w:rFonts w:ascii="Arial Narrow" w:hAnsi="Arial Narrow"/>
          <w:sz w:val="28"/>
        </w:rPr>
      </w:pPr>
      <w:r>
        <w:rPr>
          <w:rFonts w:ascii="Arial Narrow" w:hAnsi="Arial Narrow"/>
          <w:sz w:val="28"/>
        </w:rPr>
        <w:tab/>
      </w:r>
    </w:p>
    <w:p w:rsidR="00026719" w:rsidRDefault="00026719">
      <w:pPr>
        <w:tabs>
          <w:tab w:val="right" w:pos="10800"/>
        </w:tabs>
        <w:jc w:val="both"/>
        <w:rPr>
          <w:rFonts w:ascii="Arial Narrow" w:hAnsi="Arial Narrow"/>
          <w:sz w:val="28"/>
        </w:rPr>
      </w:pPr>
    </w:p>
    <w:p w:rsidR="00026719" w:rsidRDefault="00026719">
      <w:pPr>
        <w:tabs>
          <w:tab w:val="right" w:pos="10800"/>
        </w:tabs>
        <w:rPr>
          <w:rFonts w:ascii="Arial Narrow" w:hAnsi="Arial Narrow"/>
        </w:rPr>
      </w:pPr>
    </w:p>
    <w:sectPr w:rsidR="00026719">
      <w:headerReference w:type="even" r:id="rId8"/>
      <w:headerReference w:type="default" r:id="rId9"/>
      <w:footerReference w:type="even" r:id="rId10"/>
      <w:footerReference w:type="default" r:id="rId11"/>
      <w:headerReference w:type="first" r:id="rId12"/>
      <w:footerReference w:type="first" r:id="rId13"/>
      <w:pgSz w:w="12240" w:h="15840"/>
      <w:pgMar w:top="619" w:right="720" w:bottom="619" w:left="72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CB" w:rsidRDefault="00FA61CB" w:rsidP="003D70C5">
      <w:r>
        <w:separator/>
      </w:r>
    </w:p>
  </w:endnote>
  <w:endnote w:type="continuationSeparator" w:id="0">
    <w:p w:rsidR="00FA61CB" w:rsidRDefault="00FA61CB" w:rsidP="003D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19" w:rsidRDefault="00026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719" w:rsidRDefault="000267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19" w:rsidRDefault="00026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38B">
      <w:rPr>
        <w:rStyle w:val="PageNumber"/>
        <w:noProof/>
      </w:rPr>
      <w:t>2</w:t>
    </w:r>
    <w:r>
      <w:rPr>
        <w:rStyle w:val="PageNumber"/>
      </w:rPr>
      <w:fldChar w:fldCharType="end"/>
    </w:r>
  </w:p>
  <w:p w:rsidR="00026719" w:rsidRDefault="0002671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B" w:rsidRDefault="0019438B">
    <w:pPr>
      <w:pStyle w:val="Footer"/>
    </w:pPr>
  </w:p>
  <w:p w:rsidR="0019438B" w:rsidRDefault="0019438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CB" w:rsidRDefault="00FA61CB" w:rsidP="003D70C5">
      <w:r>
        <w:separator/>
      </w:r>
    </w:p>
  </w:footnote>
  <w:footnote w:type="continuationSeparator" w:id="0">
    <w:p w:rsidR="00FA61CB" w:rsidRDefault="00FA61CB" w:rsidP="003D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B" w:rsidRDefault="00194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B" w:rsidRDefault="00194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B" w:rsidRDefault="0019438B">
    <w:pPr>
      <w:pStyle w:val="Header"/>
    </w:pPr>
    <w:r>
      <w:rPr>
        <w:noProof/>
      </w:rPr>
      <w:drawing>
        <wp:anchor distT="0" distB="0" distL="114300" distR="114300" simplePos="0" relativeHeight="251659264" behindDoc="0" locked="0" layoutInCell="1" allowOverlap="1">
          <wp:simplePos x="0" y="0"/>
          <wp:positionH relativeFrom="page">
            <wp:posOffset>612140</wp:posOffset>
          </wp:positionH>
          <wp:positionV relativeFrom="page">
            <wp:posOffset>454660</wp:posOffset>
          </wp:positionV>
          <wp:extent cx="228600" cy="311150"/>
          <wp:effectExtent l="0" t="0" r="0" b="0"/>
          <wp:wrapNone/>
          <wp:docPr id="7" name="Picture 2" descr="vt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_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page">
            <wp:posOffset>858520</wp:posOffset>
          </wp:positionH>
          <wp:positionV relativeFrom="page">
            <wp:posOffset>454660</wp:posOffset>
          </wp:positionV>
          <wp:extent cx="1587500" cy="304800"/>
          <wp:effectExtent l="0" t="0" r="0" b="0"/>
          <wp:wrapNone/>
          <wp:docPr id="6" name="Picture 3" descr="vt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t_logo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38B" w:rsidRDefault="0019438B">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182880</wp:posOffset>
              </wp:positionV>
              <wp:extent cx="2419350" cy="2762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276225"/>
                      </a:xfrm>
                      <a:prstGeom prst="rect">
                        <a:avLst/>
                      </a:prstGeom>
                      <a:noFill/>
                      <a:ln w="6350">
                        <a:noFill/>
                      </a:ln>
                      <a:effectLst/>
                    </wps:spPr>
                    <wps:txbx>
                      <w:txbxContent>
                        <w:p w:rsidR="0019438B" w:rsidRPr="00333F59" w:rsidRDefault="0019438B" w:rsidP="0019438B">
                          <w:pPr>
                            <w:spacing w:line="200" w:lineRule="exact"/>
                            <w:rPr>
                              <w:b/>
                              <w:sz w:val="17"/>
                            </w:rPr>
                          </w:pPr>
                          <w:r>
                            <w:rPr>
                              <w:b/>
                              <w:sz w:val="17"/>
                            </w:rPr>
                            <w:t xml:space="preserve">Office of the University Registrar (MC 0134)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5pt;margin-top:14.4pt;width:19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w7OgIAAHgEAAAOAAAAZHJzL2Uyb0RvYy54bWysVEtv2zAMvg/YfxB0Xxx7SboacYqsRYYB&#10;QVsgGXpWZCk2ZomapMTufv0o2Xms22nYRabIT3x9pOd3nWrIUVhXgy5oOhpTIjSHstb7gn7brj58&#10;osR5pkvWgBYFfRWO3i3ev5u3JhcZVNCUwhJ0ol3emoJW3ps8SRyvhGJuBEZoNEqwinm82n1SWtai&#10;d9Uk2Xg8S1qwpbHAhXOofeiNdBH9Sym4f5LSCU+agmJuPp42nrtwJos5y/eWmarmQxrsH7JQrNYY&#10;9OzqgXlGDrb+w5WquQUH0o84qASkrLmINWA16fhNNZuKGRFrweY4c26T+39u+ePx2ZK6LOiUEs0U&#10;UrQVnSefoSNp6E5rXI6gjUGY71CNLMdKnVkD/+4Qklxh+gcO0aEbnbQqfLFOgg+RgNdz00MUjsps&#10;kt5+nKKJoy27mWXZNMRNLq+Ndf6LAEWCUFCLpMYM2HHtfA89QUIwDau6aVDP8kaTtqCz4P43Czpv&#10;dNCIOCKDm1BGn3mQfLfr0EkQd1C+YvkW+vFxhq9qTGXNnH9mFucFs8cd8E94yAYwJAwSJRXYn3/T&#10;BzzSiFZKWpy/grofB2YFJc1XjQTfppNJGNh4mUxvMrzYa8vu2qIP6h5wxFPcNsOjGPC+OYnSgnrB&#10;VVmGqGhimmPsgvqTeO/7rcBV42K5jCAcUcP8Wm8MP7EeGr3tXpg1AxseeXyE06Sy/A0pPbZv/vLg&#10;QdaRsUtXh/HB8Y6cD6sY9uf6HlGXH8biFwAAAP//AwBQSwMEFAAGAAgAAAAhAHVrDhveAAAACAEA&#10;AA8AAABkcnMvZG93bnJldi54bWxMj8FOwzAQRO9I/IO1SNyoQ0ohhDhVheCChBClEuK2jU0csNfB&#10;dtvw9ywnOO7M6O1Ms5y8E3sT0xBIwfmsAGGoC3qgXsHm5f6sApEykkYXyCj4NgmW7fFRg7UOB3o2&#10;+3XuBUMo1ajA5jzWUqbOGo9pFkZD7L2H6DHzGXupIx4Y7p0si+JSehyIP1gcza013ed65xVcVW/a&#10;fsSHafP6uPqyT6N0dyiVOj2ZVjcgspnyXxh+63N1aLnTNuxIJ+EULKoFJxWUFS9g/2J+zcKW4eUc&#10;ZNvI/wPaHwAAAP//AwBQSwECLQAUAAYACAAAACEAtoM4kv4AAADhAQAAEwAAAAAAAAAAAAAAAAAA&#10;AAAAW0NvbnRlbnRfVHlwZXNdLnhtbFBLAQItABQABgAIAAAAIQA4/SH/1gAAAJQBAAALAAAAAAAA&#10;AAAAAAAAAC8BAABfcmVscy8ucmVsc1BLAQItABQABgAIAAAAIQAKb1w7OgIAAHgEAAAOAAAAAAAA&#10;AAAAAAAAAC4CAABkcnMvZTJvRG9jLnhtbFBLAQItABQABgAIAAAAIQB1aw4b3gAAAAgBAAAPAAAA&#10;AAAAAAAAAAAAAJQEAABkcnMvZG93bnJldi54bWxQSwUGAAAAAAQABADzAAAAnwUAAAAA&#10;" filled="f" stroked="f" strokeweight=".5pt">
              <v:path arrowok="t"/>
              <v:textbox>
                <w:txbxContent>
                  <w:p w:rsidR="0019438B" w:rsidRPr="00333F59" w:rsidRDefault="0019438B" w:rsidP="0019438B">
                    <w:pPr>
                      <w:spacing w:line="200" w:lineRule="exact"/>
                      <w:rPr>
                        <w:b/>
                        <w:sz w:val="17"/>
                      </w:rPr>
                    </w:pPr>
                    <w:r>
                      <w:rPr>
                        <w:b/>
                        <w:sz w:val="17"/>
                      </w:rPr>
                      <w:t xml:space="preserve">Office of the University Registrar (MC 0134) </w:t>
                    </w:r>
                  </w:p>
                </w:txbxContent>
              </v:textbox>
            </v:shape>
          </w:pict>
        </mc:Fallback>
      </mc:AlternateContent>
    </w:r>
  </w:p>
  <w:p w:rsidR="0019438B" w:rsidRDefault="0019438B">
    <w:pPr>
      <w:pStyle w:val="Header"/>
    </w:pPr>
  </w:p>
  <w:p w:rsidR="0019438B" w:rsidRDefault="0019438B">
    <w:pPr>
      <w:pStyle w:val="Header"/>
    </w:pPr>
    <w:r>
      <w:rPr>
        <w:noProof/>
      </w:rPr>
      <mc:AlternateContent>
        <mc:Choice Requires="wps">
          <w:drawing>
            <wp:anchor distT="0" distB="0" distL="114300" distR="114300" simplePos="0" relativeHeight="251663360" behindDoc="0" locked="0" layoutInCell="1" allowOverlap="1">
              <wp:simplePos x="0" y="0"/>
              <wp:positionH relativeFrom="margin">
                <wp:posOffset>1905000</wp:posOffset>
              </wp:positionH>
              <wp:positionV relativeFrom="margin">
                <wp:posOffset>9424035</wp:posOffset>
              </wp:positionV>
              <wp:extent cx="4181475" cy="4095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409575"/>
                      </a:xfrm>
                      <a:prstGeom prst="rect">
                        <a:avLst/>
                      </a:prstGeom>
                      <a:noFill/>
                      <a:ln w="6350">
                        <a:noFill/>
                      </a:ln>
                      <a:effectLst/>
                    </wps:spPr>
                    <wps:txbx>
                      <w:txbxContent>
                        <w:p w:rsidR="0019438B" w:rsidRDefault="0019438B" w:rsidP="0019438B">
                          <w:pPr>
                            <w:pStyle w:val="Footer"/>
                            <w:tabs>
                              <w:tab w:val="clear" w:pos="8640"/>
                              <w:tab w:val="right" w:pos="10710"/>
                            </w:tabs>
                            <w:ind w:right="-270"/>
                            <w:jc w:val="center"/>
                            <w:rPr>
                              <w:rFonts w:ascii="Segoe UI" w:hAnsi="Segoe UI" w:cs="Segoe UI"/>
                              <w:sz w:val="16"/>
                              <w:szCs w:val="16"/>
                            </w:rPr>
                          </w:pPr>
                          <w:r w:rsidRPr="00731544">
                            <w:rPr>
                              <w:rFonts w:ascii="Segoe UI" w:hAnsi="Segoe UI" w:cs="Segoe UI"/>
                              <w:sz w:val="16"/>
                              <w:szCs w:val="16"/>
                            </w:rPr>
                            <w:t xml:space="preserve">Office of the University Registrar </w:t>
                          </w:r>
                          <w:r w:rsidRPr="00731544">
                            <w:rPr>
                              <w:rFonts w:ascii="Segoe UI" w:hAnsi="Segoe UI" w:cs="Segoe UI"/>
                              <w:sz w:val="12"/>
                              <w:szCs w:val="12"/>
                            </w:rPr>
                            <w:sym w:font="Wingdings" w:char="F06C"/>
                          </w:r>
                          <w:r w:rsidRPr="00731544">
                            <w:rPr>
                              <w:rFonts w:ascii="Segoe UI" w:hAnsi="Segoe UI" w:cs="Segoe UI"/>
                              <w:sz w:val="16"/>
                              <w:szCs w:val="16"/>
                            </w:rPr>
                            <w:t xml:space="preserve"> Student Services Building, Suite 250, Virginia Tech</w:t>
                          </w:r>
                        </w:p>
                        <w:p w:rsidR="0019438B" w:rsidRPr="00AB40F7" w:rsidRDefault="0019438B" w:rsidP="0019438B">
                          <w:pPr>
                            <w:pStyle w:val="Footer"/>
                            <w:tabs>
                              <w:tab w:val="right" w:pos="10710"/>
                            </w:tabs>
                            <w:ind w:right="-270"/>
                            <w:jc w:val="center"/>
                            <w:rPr>
                              <w:rFonts w:ascii="Segoe UI" w:hAnsi="Segoe UI" w:cs="Segoe UI"/>
                              <w:sz w:val="16"/>
                              <w:szCs w:val="16"/>
                            </w:rPr>
                          </w:pPr>
                          <w:r w:rsidRPr="00731544">
                            <w:rPr>
                              <w:rFonts w:ascii="Segoe UI" w:hAnsi="Segoe UI" w:cs="Segoe UI"/>
                              <w:sz w:val="16"/>
                              <w:szCs w:val="16"/>
                            </w:rPr>
                            <w:t>800 Washington St., SW</w:t>
                          </w:r>
                          <w:r w:rsidRPr="00731544">
                            <w:rPr>
                              <w:rFonts w:ascii="Segoe UI" w:hAnsi="Segoe UI" w:cs="Segoe UI"/>
                              <w:sz w:val="12"/>
                              <w:szCs w:val="12"/>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Blacksburg, VA 24061 </w:t>
                          </w:r>
                          <w:r w:rsidRPr="00731544">
                            <w:rPr>
                              <w:rFonts w:ascii="Segoe UI" w:hAnsi="Segoe UI" w:cs="Segoe UI"/>
                              <w:sz w:val="12"/>
                              <w:szCs w:val="12"/>
                            </w:rPr>
                            <w:sym w:font="Wingdings" w:char="F06C"/>
                          </w:r>
                          <w:r w:rsidRPr="00731544">
                            <w:rPr>
                              <w:rFonts w:ascii="Segoe UI" w:hAnsi="Segoe UI" w:cs="Segoe UI"/>
                              <w:sz w:val="16"/>
                              <w:szCs w:val="16"/>
                            </w:rPr>
                            <w:t xml:space="preserve"> (540) 231-6252</w:t>
                          </w:r>
                          <w:r>
                            <w:rPr>
                              <w:rFonts w:ascii="Segoe UI" w:hAnsi="Segoe UI" w:cs="Segoe UI"/>
                              <w:sz w:val="16"/>
                              <w:szCs w:val="16"/>
                            </w:rPr>
                            <w:t xml:space="preserve"> </w:t>
                          </w:r>
                          <w:r w:rsidRPr="00731544">
                            <w:rPr>
                              <w:rFonts w:ascii="Segoe UI" w:hAnsi="Segoe UI" w:cs="Segoe UI"/>
                              <w:sz w:val="12"/>
                              <w:szCs w:val="12"/>
                            </w:rPr>
                            <w:sym w:font="Wingdings" w:char="F06C"/>
                          </w:r>
                          <w:r>
                            <w:rPr>
                              <w:rFonts w:ascii="Segoe UI" w:hAnsi="Segoe UI" w:cs="Segoe UI"/>
                              <w:sz w:val="16"/>
                              <w:szCs w:val="16"/>
                            </w:rPr>
                            <w:t xml:space="preserve"> registrar@vt.edu</w:t>
                          </w:r>
                        </w:p>
                        <w:p w:rsidR="0019438B" w:rsidRPr="00372DE0" w:rsidRDefault="0019438B" w:rsidP="0019438B">
                          <w:pPr>
                            <w:rPr>
                              <w:rFonts w:ascii="Segoe UI" w:hAnsi="Segoe UI" w:cs="Segoe UI"/>
                              <w:sz w:val="18"/>
                            </w:rPr>
                          </w:pPr>
                        </w:p>
                        <w:p w:rsidR="0019438B" w:rsidRDefault="0019438B" w:rsidP="001943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50pt;margin-top:742.05pt;width:329.25pt;height: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WTPgIAAIAEAAAOAAAAZHJzL2Uyb0RvYy54bWysVNuO2jAQfa/Uf7D8XpLQsJeIsKK7oqqE&#10;dleCap+N45Cotse1DQn9+o5NuGjbp6ovZuw5mcs5M0wfeiXJXljXgi5pNkopEZpD1eptSb+vF5/u&#10;KHGe6YpJ0KKkB+How+zjh2lnCjGGBmQlLMEg2hWdKWnjvSmSxPFGKOZGYIRGZw1WMY9Xu00qyzqM&#10;rmQyTtObpANbGQtcOIevT0cnncX4dS24f6lrJzyRJcXafDxtPDfhTGZTVmwtM03LhzLYP1ShWKsx&#10;6TnUE/OM7Gz7RyjVcgsOaj/ioBKo65aL2AN2k6Xvulk1zIjYC5LjzJkm9//C8uf9qyVtVdKcEs0U&#10;SrQWvSdfoCdZpKczrkDUyiDO9/iOMsdWnVkC/+GQweQKE5h3hUN0oKOvrQq/2CjBD1GBw5n1kIbj&#10;Y57dZfnthBKOvjy9n6Adgl6+Ntb5rwIUCUZJLaoaK2D7pfNH6AkSkmlYtFJGZaUmXUlvPk/S+MHZ&#10;g8GlDlgRZ2QIc6k8WL7f9JGZLJQTXjZQHZAFC8cxcoYvWqxoyZx/ZRbnBvvDXfAveNQSMDMMFiUN&#10;2F9/ew94lBO9lHQ4hyV1P3fMCkrkN41C32d5HgY3XvLJ7Rgv9tqzufbonXoEHPUMt87waAa8lyez&#10;tqDecGXmISu6mOaYu6T+ZD7643bgynExn0cQjqphfqlXhp/ED3yv+zdmzSCKRzmf4TSxrHinzRF7&#10;VGe+81C3UbgLq8MU4ZhH6YeVDHt0fY+oyx/H7DcAAAD//wMAUEsDBBQABgAIAAAAIQAp55Ga4gAA&#10;AA0BAAAPAAAAZHJzL2Rvd25yZXYueG1sTI/NTsMwEITvSLyDtUjcqFNIiglxqgrBBQlVlEqImxsv&#10;ccA/wXbb8PYsJzjuzGj2m2Y5OcsOGNMQvIT5rACGvgt68L2E7cvDhQCWsvJa2eBRwjcmWLanJ42q&#10;dTj6Zzxscs+oxKdaSTA5jzXnqTPoVJqFET157yE6lemMPddRHancWX5ZFAvu1ODpg1Ej3hnsPjd7&#10;J+FavGnzER+n7evT6susR27vFZfy/Gxa3QLLOOW/MPziEzq0xLQLe68TsxKuioK2ZDJKUc6BUeSm&#10;EhWwHUlVKRbA24b/X9H+AAAA//8DAFBLAQItABQABgAIAAAAIQC2gziS/gAAAOEBAAATAAAAAAAA&#10;AAAAAAAAAAAAAABbQ29udGVudF9UeXBlc10ueG1sUEsBAi0AFAAGAAgAAAAhADj9If/WAAAAlAEA&#10;AAsAAAAAAAAAAAAAAAAALwEAAF9yZWxzLy5yZWxzUEsBAi0AFAAGAAgAAAAhAPO4NZM+AgAAgAQA&#10;AA4AAAAAAAAAAAAAAAAALgIAAGRycy9lMm9Eb2MueG1sUEsBAi0AFAAGAAgAAAAhACnnkZriAAAA&#10;DQEAAA8AAAAAAAAAAAAAAAAAmAQAAGRycy9kb3ducmV2LnhtbFBLBQYAAAAABAAEAPMAAACnBQAA&#10;AAA=&#10;" filled="f" stroked="f" strokeweight=".5pt">
              <v:path arrowok="t"/>
              <v:textbox>
                <w:txbxContent>
                  <w:p w:rsidR="0019438B" w:rsidRDefault="0019438B" w:rsidP="0019438B">
                    <w:pPr>
                      <w:pStyle w:val="Footer"/>
                      <w:tabs>
                        <w:tab w:val="clear" w:pos="8640"/>
                        <w:tab w:val="right" w:pos="10710"/>
                      </w:tabs>
                      <w:ind w:right="-270"/>
                      <w:jc w:val="center"/>
                      <w:rPr>
                        <w:rFonts w:ascii="Segoe UI" w:hAnsi="Segoe UI" w:cs="Segoe UI"/>
                        <w:sz w:val="16"/>
                        <w:szCs w:val="16"/>
                      </w:rPr>
                    </w:pPr>
                    <w:r w:rsidRPr="00731544">
                      <w:rPr>
                        <w:rFonts w:ascii="Segoe UI" w:hAnsi="Segoe UI" w:cs="Segoe UI"/>
                        <w:sz w:val="16"/>
                        <w:szCs w:val="16"/>
                      </w:rPr>
                      <w:t xml:space="preserve">Office of the University Registrar </w:t>
                    </w:r>
                    <w:r w:rsidRPr="00731544">
                      <w:rPr>
                        <w:rFonts w:ascii="Segoe UI" w:hAnsi="Segoe UI" w:cs="Segoe UI"/>
                        <w:sz w:val="12"/>
                        <w:szCs w:val="12"/>
                      </w:rPr>
                      <w:sym w:font="Wingdings" w:char="F06C"/>
                    </w:r>
                    <w:r w:rsidRPr="00731544">
                      <w:rPr>
                        <w:rFonts w:ascii="Segoe UI" w:hAnsi="Segoe UI" w:cs="Segoe UI"/>
                        <w:sz w:val="16"/>
                        <w:szCs w:val="16"/>
                      </w:rPr>
                      <w:t xml:space="preserve"> Student Services Building, Suite 250, Virginia Tech</w:t>
                    </w:r>
                  </w:p>
                  <w:p w:rsidR="0019438B" w:rsidRPr="00AB40F7" w:rsidRDefault="0019438B" w:rsidP="0019438B">
                    <w:pPr>
                      <w:pStyle w:val="Footer"/>
                      <w:tabs>
                        <w:tab w:val="right" w:pos="10710"/>
                      </w:tabs>
                      <w:ind w:right="-270"/>
                      <w:jc w:val="center"/>
                      <w:rPr>
                        <w:rFonts w:ascii="Segoe UI" w:hAnsi="Segoe UI" w:cs="Segoe UI"/>
                        <w:sz w:val="16"/>
                        <w:szCs w:val="16"/>
                      </w:rPr>
                    </w:pPr>
                    <w:r w:rsidRPr="00731544">
                      <w:rPr>
                        <w:rFonts w:ascii="Segoe UI" w:hAnsi="Segoe UI" w:cs="Segoe UI"/>
                        <w:sz w:val="16"/>
                        <w:szCs w:val="16"/>
                      </w:rPr>
                      <w:t>800 Washington St., SW</w:t>
                    </w:r>
                    <w:r w:rsidRPr="00731544">
                      <w:rPr>
                        <w:rFonts w:ascii="Segoe UI" w:hAnsi="Segoe UI" w:cs="Segoe UI"/>
                        <w:sz w:val="12"/>
                        <w:szCs w:val="12"/>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Blacksburg, VA 24061 </w:t>
                    </w:r>
                    <w:r w:rsidRPr="00731544">
                      <w:rPr>
                        <w:rFonts w:ascii="Segoe UI" w:hAnsi="Segoe UI" w:cs="Segoe UI"/>
                        <w:sz w:val="12"/>
                        <w:szCs w:val="12"/>
                      </w:rPr>
                      <w:sym w:font="Wingdings" w:char="F06C"/>
                    </w:r>
                    <w:r w:rsidRPr="00731544">
                      <w:rPr>
                        <w:rFonts w:ascii="Segoe UI" w:hAnsi="Segoe UI" w:cs="Segoe UI"/>
                        <w:sz w:val="16"/>
                        <w:szCs w:val="16"/>
                      </w:rPr>
                      <w:t xml:space="preserve"> (540) 231-6252</w:t>
                    </w:r>
                    <w:r>
                      <w:rPr>
                        <w:rFonts w:ascii="Segoe UI" w:hAnsi="Segoe UI" w:cs="Segoe UI"/>
                        <w:sz w:val="16"/>
                        <w:szCs w:val="16"/>
                      </w:rPr>
                      <w:t xml:space="preserve"> </w:t>
                    </w:r>
                    <w:r w:rsidRPr="00731544">
                      <w:rPr>
                        <w:rFonts w:ascii="Segoe UI" w:hAnsi="Segoe UI" w:cs="Segoe UI"/>
                        <w:sz w:val="12"/>
                        <w:szCs w:val="12"/>
                      </w:rPr>
                      <w:sym w:font="Wingdings" w:char="F06C"/>
                    </w:r>
                    <w:r>
                      <w:rPr>
                        <w:rFonts w:ascii="Segoe UI" w:hAnsi="Segoe UI" w:cs="Segoe UI"/>
                        <w:sz w:val="16"/>
                        <w:szCs w:val="16"/>
                      </w:rPr>
                      <w:t xml:space="preserve"> registrar@vt.edu</w:t>
                    </w:r>
                  </w:p>
                  <w:p w:rsidR="0019438B" w:rsidRPr="00372DE0" w:rsidRDefault="0019438B" w:rsidP="0019438B">
                    <w:pPr>
                      <w:rPr>
                        <w:rFonts w:ascii="Segoe UI" w:hAnsi="Segoe UI" w:cs="Segoe UI"/>
                        <w:sz w:val="18"/>
                      </w:rPr>
                    </w:pPr>
                  </w:p>
                  <w:p w:rsidR="0019438B" w:rsidRDefault="0019438B" w:rsidP="0019438B"/>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5D"/>
    <w:rsid w:val="00026719"/>
    <w:rsid w:val="00045A74"/>
    <w:rsid w:val="00156ABE"/>
    <w:rsid w:val="0019438B"/>
    <w:rsid w:val="00203609"/>
    <w:rsid w:val="00205453"/>
    <w:rsid w:val="00244338"/>
    <w:rsid w:val="002A2121"/>
    <w:rsid w:val="002B64B7"/>
    <w:rsid w:val="003D70C5"/>
    <w:rsid w:val="004E5621"/>
    <w:rsid w:val="005C1E71"/>
    <w:rsid w:val="005E5E67"/>
    <w:rsid w:val="006007C1"/>
    <w:rsid w:val="00717C3E"/>
    <w:rsid w:val="00755BA2"/>
    <w:rsid w:val="00872E8F"/>
    <w:rsid w:val="008E410E"/>
    <w:rsid w:val="009E13CA"/>
    <w:rsid w:val="00A672B3"/>
    <w:rsid w:val="00B6758D"/>
    <w:rsid w:val="00B776E5"/>
    <w:rsid w:val="00B965A7"/>
    <w:rsid w:val="00B97B07"/>
    <w:rsid w:val="00BF3B59"/>
    <w:rsid w:val="00C16D17"/>
    <w:rsid w:val="00C76781"/>
    <w:rsid w:val="00C91B55"/>
    <w:rsid w:val="00CC335D"/>
    <w:rsid w:val="00D419BE"/>
    <w:rsid w:val="00D75AAB"/>
    <w:rsid w:val="00EC225B"/>
    <w:rsid w:val="00FA61CB"/>
    <w:rsid w:val="00FB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221D402"/>
  <w15:chartTrackingRefBased/>
  <w15:docId w15:val="{212CE1B4-FD3E-496C-BE67-B85EA7AA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5" w:color="auto" w:fill="auto"/>
      <w:tabs>
        <w:tab w:val="right" w:pos="10800"/>
      </w:tabs>
      <w:jc w:val="center"/>
      <w:outlineLvl w:val="0"/>
    </w:pPr>
    <w:rPr>
      <w:rFonts w:ascii="Arial Narrow" w:hAnsi="Arial Narrow"/>
      <w:b/>
      <w:sz w:val="20"/>
    </w:rPr>
  </w:style>
  <w:style w:type="paragraph" w:styleId="Heading2">
    <w:name w:val="heading 2"/>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5" w:color="auto" w:fill="auto"/>
      <w:tabs>
        <w:tab w:val="right" w:pos="10800"/>
      </w:tabs>
      <w:jc w:val="both"/>
      <w:outlineLvl w:val="1"/>
    </w:pPr>
    <w:rPr>
      <w:rFonts w:ascii="Arial Narrow" w:hAnsi="Arial Narrow"/>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pBdr>
        <w:top w:val="single" w:sz="6" w:space="1" w:color="auto" w:shadow="1"/>
        <w:left w:val="single" w:sz="6" w:space="1" w:color="auto" w:shadow="1"/>
        <w:bottom w:val="single" w:sz="6" w:space="1" w:color="auto" w:shadow="1"/>
        <w:right w:val="single" w:sz="6" w:space="1" w:color="auto" w:shadow="1"/>
      </w:pBdr>
      <w:shd w:val="pct5" w:color="auto" w:fill="auto"/>
      <w:jc w:val="center"/>
    </w:pPr>
    <w:rPr>
      <w:rFonts w:ascii="Arial Narrow" w:hAnsi="Arial Narrow"/>
      <w:b/>
      <w:sz w:val="28"/>
    </w:rPr>
  </w:style>
  <w:style w:type="character" w:styleId="PageNumber">
    <w:name w:val="page number"/>
    <w:basedOn w:val="DefaultParagraphFont"/>
  </w:style>
  <w:style w:type="paragraph" w:styleId="BodyText">
    <w:name w:val="Body Text"/>
    <w:basedOn w:val="Normal"/>
    <w:pPr>
      <w:tabs>
        <w:tab w:val="left" w:pos="720"/>
        <w:tab w:val="right" w:pos="10800"/>
      </w:tabs>
      <w:jc w:val="both"/>
    </w:pPr>
    <w:rPr>
      <w:rFonts w:ascii="Arial Narrow" w:hAnsi="Arial Narrow"/>
      <w:sz w:val="20"/>
    </w:rPr>
  </w:style>
  <w:style w:type="paragraph" w:styleId="BalloonText">
    <w:name w:val="Balloon Text"/>
    <w:basedOn w:val="Normal"/>
    <w:link w:val="BalloonTextChar"/>
    <w:rsid w:val="00C91B55"/>
    <w:rPr>
      <w:rFonts w:ascii="Tahoma" w:hAnsi="Tahoma" w:cs="Tahoma"/>
      <w:sz w:val="16"/>
      <w:szCs w:val="16"/>
    </w:rPr>
  </w:style>
  <w:style w:type="character" w:customStyle="1" w:styleId="BalloonTextChar">
    <w:name w:val="Balloon Text Char"/>
    <w:link w:val="BalloonText"/>
    <w:rsid w:val="00C91B55"/>
    <w:rPr>
      <w:rFonts w:ascii="Tahoma" w:hAnsi="Tahoma" w:cs="Tahoma"/>
      <w:sz w:val="16"/>
      <w:szCs w:val="16"/>
    </w:rPr>
  </w:style>
  <w:style w:type="character" w:styleId="Hyperlink">
    <w:name w:val="Hyperlink"/>
    <w:rsid w:val="005C1E71"/>
    <w:rPr>
      <w:color w:val="0000FF"/>
      <w:u w:val="single"/>
    </w:rPr>
  </w:style>
  <w:style w:type="character" w:customStyle="1" w:styleId="FooterChar">
    <w:name w:val="Footer Char"/>
    <w:link w:val="Footer"/>
    <w:uiPriority w:val="99"/>
    <w:rsid w:val="001943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sidency@vt.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VIRGINIA TECH</vt:lpstr>
    </vt:vector>
  </TitlesOfParts>
  <Company>Registrar</Company>
  <LinksUpToDate>false</LinksUpToDate>
  <CharactersWithSpaces>6602</CharactersWithSpaces>
  <SharedDoc>false</SharedDoc>
  <HLinks>
    <vt:vector size="6" baseType="variant">
      <vt:variant>
        <vt:i4>2883601</vt:i4>
      </vt:variant>
      <vt:variant>
        <vt:i4>3</vt:i4>
      </vt:variant>
      <vt:variant>
        <vt:i4>0</vt:i4>
      </vt:variant>
      <vt:variant>
        <vt:i4>5</vt:i4>
      </vt:variant>
      <vt:variant>
        <vt:lpwstr>mailto:residency@vt.edu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dc:title>
  <dc:subject/>
  <dc:creator>Lisa Duncan Raines</dc:creator>
  <cp:keywords/>
  <cp:lastModifiedBy>Green, David</cp:lastModifiedBy>
  <cp:revision>2</cp:revision>
  <cp:lastPrinted>2000-02-02T17:29:00Z</cp:lastPrinted>
  <dcterms:created xsi:type="dcterms:W3CDTF">2017-04-27T12:33:00Z</dcterms:created>
  <dcterms:modified xsi:type="dcterms:W3CDTF">2017-04-27T12:33:00Z</dcterms:modified>
</cp:coreProperties>
</file>